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2C41D" w14:textId="1E39BF8B" w:rsidR="00A37872" w:rsidRPr="00A37872" w:rsidRDefault="00A37872" w:rsidP="00A37872">
      <w:pPr>
        <w:spacing w:after="0" w:line="240" w:lineRule="auto"/>
        <w:ind w:left="57" w:right="57"/>
        <w:rPr>
          <w:rFonts w:ascii="Arial" w:hAnsi="Arial" w:cs="Arial"/>
        </w:rPr>
      </w:pPr>
      <w:r w:rsidRPr="00A37872">
        <w:rPr>
          <w:rFonts w:ascii="Arial" w:hAnsi="Arial" w:cs="Arial"/>
          <w:b/>
          <w:bCs/>
        </w:rPr>
        <w:t>Title:</w:t>
      </w:r>
      <w:r w:rsidRPr="00A37872">
        <w:rPr>
          <w:rFonts w:ascii="Arial" w:hAnsi="Arial" w:cs="Arial"/>
        </w:rPr>
        <w:t xml:space="preserve"> Untangling the taxonomy and diversity of </w:t>
      </w:r>
      <w:proofErr w:type="spellStart"/>
      <w:r w:rsidRPr="00A37872">
        <w:rPr>
          <w:rFonts w:ascii="Arial" w:hAnsi="Arial" w:cs="Arial"/>
          <w:i/>
          <w:iCs/>
        </w:rPr>
        <w:t>Serruria</w:t>
      </w:r>
      <w:proofErr w:type="spellEnd"/>
      <w:r w:rsidRPr="00A37872">
        <w:rPr>
          <w:rFonts w:ascii="Arial" w:hAnsi="Arial" w:cs="Arial"/>
        </w:rPr>
        <w:t xml:space="preserve"> in the Proteaceae family</w:t>
      </w:r>
    </w:p>
    <w:p w14:paraId="08DBA8F1" w14:textId="10F2F5EA" w:rsidR="00A37872" w:rsidRPr="00A37872" w:rsidRDefault="00A37872" w:rsidP="00A37872">
      <w:pPr>
        <w:spacing w:after="0" w:line="240" w:lineRule="auto"/>
        <w:ind w:left="57" w:right="57"/>
        <w:rPr>
          <w:rFonts w:ascii="Arial" w:hAnsi="Arial" w:cs="Arial"/>
        </w:rPr>
      </w:pPr>
      <w:r w:rsidRPr="00A37872">
        <w:rPr>
          <w:rFonts w:ascii="Arial" w:hAnsi="Arial" w:cs="Arial"/>
          <w:b/>
          <w:bCs/>
        </w:rPr>
        <w:t>Level:</w:t>
      </w:r>
      <w:r w:rsidRPr="00A37872">
        <w:rPr>
          <w:rFonts w:ascii="Arial" w:hAnsi="Arial" w:cs="Arial"/>
        </w:rPr>
        <w:t xml:space="preserve"> </w:t>
      </w:r>
      <w:proofErr w:type="spellStart"/>
      <w:r w:rsidRPr="00A37872">
        <w:rPr>
          <w:rFonts w:ascii="Arial" w:hAnsi="Arial" w:cs="Arial"/>
        </w:rPr>
        <w:t>Dotoral</w:t>
      </w:r>
      <w:proofErr w:type="spellEnd"/>
    </w:p>
    <w:p w14:paraId="6DECCF6F" w14:textId="77777777" w:rsidR="00A37872" w:rsidRPr="00A37872" w:rsidRDefault="00A37872" w:rsidP="00A37872">
      <w:pPr>
        <w:spacing w:after="0" w:line="240" w:lineRule="auto"/>
        <w:ind w:left="57" w:right="57"/>
        <w:rPr>
          <w:rFonts w:ascii="Arial" w:hAnsi="Arial" w:cs="Arial"/>
        </w:rPr>
      </w:pPr>
      <w:r w:rsidRPr="00A37872">
        <w:rPr>
          <w:rFonts w:ascii="Arial" w:hAnsi="Arial" w:cs="Arial"/>
          <w:b/>
          <w:bCs/>
        </w:rPr>
        <w:t>Field:</w:t>
      </w:r>
      <w:r w:rsidRPr="00A37872">
        <w:rPr>
          <w:rFonts w:ascii="Arial" w:hAnsi="Arial" w:cs="Arial"/>
        </w:rPr>
        <w:t xml:space="preserve"> Plant systematics</w:t>
      </w:r>
    </w:p>
    <w:p w14:paraId="30DEC3C5" w14:textId="7CF7D94E" w:rsidR="00A37872" w:rsidRPr="00A37872" w:rsidRDefault="00A37872" w:rsidP="00A37872">
      <w:pPr>
        <w:spacing w:after="0" w:line="240" w:lineRule="auto"/>
        <w:ind w:left="57" w:right="57"/>
        <w:rPr>
          <w:rFonts w:ascii="Arial" w:hAnsi="Arial" w:cs="Arial"/>
        </w:rPr>
      </w:pPr>
      <w:r w:rsidRPr="00A37872">
        <w:rPr>
          <w:rFonts w:ascii="Arial" w:hAnsi="Arial" w:cs="Arial"/>
          <w:b/>
          <w:bCs/>
        </w:rPr>
        <w:t>Supervisors:</w:t>
      </w:r>
      <w:r w:rsidRPr="00A37872">
        <w:rPr>
          <w:rFonts w:ascii="Arial" w:hAnsi="Arial" w:cs="Arial"/>
        </w:rPr>
        <w:t xml:space="preserve"> </w:t>
      </w:r>
      <w:r w:rsidR="007C3826">
        <w:rPr>
          <w:rFonts w:ascii="Arial" w:hAnsi="Arial" w:cs="Arial"/>
        </w:rPr>
        <w:t xml:space="preserve">Dr </w:t>
      </w:r>
      <w:r w:rsidRPr="00A37872">
        <w:rPr>
          <w:rFonts w:ascii="Arial" w:hAnsi="Arial" w:cs="Arial"/>
        </w:rPr>
        <w:t>Kenneth Oberlander (U</w:t>
      </w:r>
      <w:r>
        <w:rPr>
          <w:rFonts w:ascii="Arial" w:hAnsi="Arial" w:cs="Arial"/>
        </w:rPr>
        <w:t xml:space="preserve">P) </w:t>
      </w:r>
      <w:hyperlink r:id="rId4" w:history="1">
        <w:r w:rsidRPr="00A37872">
          <w:rPr>
            <w:rStyle w:val="Hyperlink"/>
            <w:rFonts w:ascii="Arial" w:hAnsi="Arial" w:cs="Arial"/>
            <w:color w:val="auto"/>
            <w:u w:val="none"/>
          </w:rPr>
          <w:t>kenneth.oberlander@up.ac.za</w:t>
        </w:r>
      </w:hyperlink>
      <w:r w:rsidRPr="00A37872">
        <w:rPr>
          <w:rFonts w:ascii="Arial" w:hAnsi="Arial" w:cs="Arial"/>
        </w:rPr>
        <w:t xml:space="preserve"> </w:t>
      </w:r>
      <w:r>
        <w:rPr>
          <w:rFonts w:ascii="Arial" w:hAnsi="Arial" w:cs="Arial"/>
        </w:rPr>
        <w:t>and Dr</w:t>
      </w:r>
      <w:r w:rsidRPr="00A37872">
        <w:rPr>
          <w:rFonts w:ascii="Arial" w:hAnsi="Arial" w:cs="Arial"/>
        </w:rPr>
        <w:t xml:space="preserve"> Marianne le Roux (SANBI</w:t>
      </w:r>
      <w:r>
        <w:rPr>
          <w:rFonts w:ascii="Arial" w:hAnsi="Arial" w:cs="Arial"/>
        </w:rPr>
        <w:t>)</w:t>
      </w:r>
      <w:r w:rsidRPr="00A37872">
        <w:rPr>
          <w:rFonts w:ascii="Arial" w:hAnsi="Arial" w:cs="Arial"/>
        </w:rPr>
        <w:t xml:space="preserve"> M.LeRoux@sanbi.org.za</w:t>
      </w:r>
    </w:p>
    <w:p w14:paraId="6D092C83" w14:textId="77777777" w:rsidR="00A37872" w:rsidRPr="00A37872" w:rsidRDefault="00A37872" w:rsidP="00A37872">
      <w:pPr>
        <w:spacing w:after="0" w:line="240" w:lineRule="auto"/>
        <w:ind w:left="57" w:right="57"/>
        <w:rPr>
          <w:rFonts w:ascii="Arial" w:hAnsi="Arial" w:cs="Arial"/>
        </w:rPr>
      </w:pPr>
      <w:r w:rsidRPr="00A37872">
        <w:rPr>
          <w:rFonts w:ascii="Arial" w:hAnsi="Arial" w:cs="Arial"/>
          <w:b/>
          <w:bCs/>
        </w:rPr>
        <w:t>University for registration:</w:t>
      </w:r>
      <w:r w:rsidRPr="00A37872">
        <w:rPr>
          <w:rFonts w:ascii="Arial" w:hAnsi="Arial" w:cs="Arial"/>
        </w:rPr>
        <w:t xml:space="preserve"> University of Pretoria</w:t>
      </w:r>
    </w:p>
    <w:p w14:paraId="0A494254" w14:textId="77777777" w:rsidR="00A37872" w:rsidRPr="00A37872" w:rsidRDefault="00A37872" w:rsidP="00A37872">
      <w:pPr>
        <w:spacing w:after="0" w:line="240" w:lineRule="auto"/>
        <w:ind w:left="57" w:right="57"/>
        <w:rPr>
          <w:rFonts w:ascii="Arial" w:hAnsi="Arial" w:cs="Arial"/>
          <w:b/>
          <w:bCs/>
        </w:rPr>
      </w:pPr>
    </w:p>
    <w:p w14:paraId="463CF18D" w14:textId="77777777" w:rsidR="00043DF3" w:rsidRDefault="00A37872" w:rsidP="00A37872">
      <w:pPr>
        <w:spacing w:after="0" w:line="240" w:lineRule="auto"/>
        <w:ind w:left="57" w:right="57"/>
        <w:rPr>
          <w:rFonts w:ascii="Arial" w:hAnsi="Arial" w:cs="Arial"/>
        </w:rPr>
      </w:pPr>
      <w:r w:rsidRPr="00A37872">
        <w:rPr>
          <w:rFonts w:ascii="Arial" w:hAnsi="Arial" w:cs="Arial"/>
          <w:b/>
          <w:bCs/>
        </w:rPr>
        <w:t>Description:</w:t>
      </w:r>
      <w:r w:rsidRPr="00A37872">
        <w:rPr>
          <w:rFonts w:ascii="Arial" w:hAnsi="Arial" w:cs="Arial"/>
        </w:rPr>
        <w:t xml:space="preserve"> </w:t>
      </w:r>
    </w:p>
    <w:p w14:paraId="0284731E" w14:textId="59F5D017" w:rsidR="00A37872" w:rsidRPr="00A37872" w:rsidRDefault="00A37872" w:rsidP="00A37872">
      <w:pPr>
        <w:spacing w:after="0" w:line="240" w:lineRule="auto"/>
        <w:ind w:left="57" w:right="57"/>
        <w:rPr>
          <w:rFonts w:ascii="Arial" w:hAnsi="Arial" w:cs="Arial"/>
        </w:rPr>
      </w:pPr>
      <w:proofErr w:type="spellStart"/>
      <w:r w:rsidRPr="00A37872">
        <w:rPr>
          <w:rFonts w:ascii="Arial" w:hAnsi="Arial" w:cs="Arial"/>
          <w:i/>
          <w:iCs/>
        </w:rPr>
        <w:t>Serruria</w:t>
      </w:r>
      <w:proofErr w:type="spellEnd"/>
      <w:r w:rsidRPr="00A37872">
        <w:rPr>
          <w:rFonts w:ascii="Arial" w:hAnsi="Arial" w:cs="Arial"/>
        </w:rPr>
        <w:t xml:space="preserve"> </w:t>
      </w:r>
      <w:proofErr w:type="spellStart"/>
      <w:r w:rsidRPr="00A37872">
        <w:rPr>
          <w:rFonts w:ascii="Arial" w:hAnsi="Arial" w:cs="Arial"/>
        </w:rPr>
        <w:t>Salisb</w:t>
      </w:r>
      <w:proofErr w:type="spellEnd"/>
      <w:r w:rsidRPr="00A37872">
        <w:rPr>
          <w:rFonts w:ascii="Arial" w:hAnsi="Arial" w:cs="Arial"/>
        </w:rPr>
        <w:t xml:space="preserve">., one of 14 indigenous Proteaceae genera in South Africa and the third largest after </w:t>
      </w:r>
      <w:r w:rsidRPr="00A37872">
        <w:rPr>
          <w:rFonts w:ascii="Arial" w:hAnsi="Arial" w:cs="Arial"/>
          <w:i/>
          <w:iCs/>
        </w:rPr>
        <w:t>Leucadendron</w:t>
      </w:r>
      <w:r w:rsidRPr="00A37872">
        <w:rPr>
          <w:rFonts w:ascii="Arial" w:hAnsi="Arial" w:cs="Arial"/>
        </w:rPr>
        <w:t xml:space="preserve"> R.Br. and </w:t>
      </w:r>
      <w:r w:rsidRPr="00A37872">
        <w:rPr>
          <w:rFonts w:ascii="Arial" w:hAnsi="Arial" w:cs="Arial"/>
          <w:i/>
          <w:iCs/>
        </w:rPr>
        <w:t>Protea</w:t>
      </w:r>
      <w:r w:rsidRPr="00A37872">
        <w:rPr>
          <w:rFonts w:ascii="Arial" w:hAnsi="Arial" w:cs="Arial"/>
        </w:rPr>
        <w:t xml:space="preserve"> L., comprises approximately 57 species endemic to the Cape Floristic Region, all restricted to the Western Cape Province. Known as ‘</w:t>
      </w:r>
      <w:proofErr w:type="spellStart"/>
      <w:r w:rsidRPr="00A37872">
        <w:rPr>
          <w:rFonts w:ascii="Arial" w:hAnsi="Arial" w:cs="Arial"/>
        </w:rPr>
        <w:t>spiderheads</w:t>
      </w:r>
      <w:proofErr w:type="spellEnd"/>
      <w:r w:rsidRPr="00A37872">
        <w:rPr>
          <w:rFonts w:ascii="Arial" w:hAnsi="Arial" w:cs="Arial"/>
        </w:rPr>
        <w:t>’ or ‘</w:t>
      </w:r>
      <w:proofErr w:type="spellStart"/>
      <w:r w:rsidRPr="00A37872">
        <w:rPr>
          <w:rFonts w:ascii="Arial" w:hAnsi="Arial" w:cs="Arial"/>
        </w:rPr>
        <w:t>spinnekopbosse</w:t>
      </w:r>
      <w:proofErr w:type="spellEnd"/>
      <w:r w:rsidRPr="00A37872">
        <w:rPr>
          <w:rFonts w:ascii="Arial" w:hAnsi="Arial" w:cs="Arial"/>
        </w:rPr>
        <w:t xml:space="preserve">’ in Afrikaans, </w:t>
      </w:r>
      <w:proofErr w:type="spellStart"/>
      <w:r w:rsidRPr="00A37872">
        <w:rPr>
          <w:rFonts w:ascii="Arial" w:hAnsi="Arial" w:cs="Arial"/>
          <w:i/>
          <w:iCs/>
        </w:rPr>
        <w:t>Serruria</w:t>
      </w:r>
      <w:proofErr w:type="spellEnd"/>
      <w:r w:rsidRPr="00A37872">
        <w:rPr>
          <w:rFonts w:ascii="Arial" w:hAnsi="Arial" w:cs="Arial"/>
        </w:rPr>
        <w:t xml:space="preserve"> is characterised by its shrubby nature, pinnately dissected leaves, and distinctive inflorescences with coloured involucres. The genus faces significant conservation challenges, with only eight species listed as Least Concern and the remainder ranging from Rare to Critically Endangered. It carries economic value because of its horticultural potential in the cut flower industry with </w:t>
      </w:r>
      <w:r w:rsidRPr="00A37872">
        <w:rPr>
          <w:rFonts w:ascii="Arial" w:hAnsi="Arial" w:cs="Arial"/>
          <w:i/>
          <w:iCs/>
        </w:rPr>
        <w:t xml:space="preserve">S. </w:t>
      </w:r>
      <w:proofErr w:type="spellStart"/>
      <w:r w:rsidRPr="00A37872">
        <w:rPr>
          <w:rFonts w:ascii="Arial" w:hAnsi="Arial" w:cs="Arial"/>
          <w:i/>
          <w:iCs/>
        </w:rPr>
        <w:t>florida</w:t>
      </w:r>
      <w:proofErr w:type="spellEnd"/>
      <w:r w:rsidRPr="00A37872">
        <w:rPr>
          <w:rFonts w:ascii="Arial" w:hAnsi="Arial" w:cs="Arial"/>
        </w:rPr>
        <w:t xml:space="preserve"> (Thunb.) </w:t>
      </w:r>
      <w:proofErr w:type="spellStart"/>
      <w:r w:rsidRPr="00A37872">
        <w:rPr>
          <w:rFonts w:ascii="Arial" w:hAnsi="Arial" w:cs="Arial"/>
        </w:rPr>
        <w:t>Salisb</w:t>
      </w:r>
      <w:proofErr w:type="spellEnd"/>
      <w:r w:rsidRPr="00A37872">
        <w:rPr>
          <w:rFonts w:ascii="Arial" w:hAnsi="Arial" w:cs="Arial"/>
        </w:rPr>
        <w:t xml:space="preserve">. </w:t>
      </w:r>
      <w:proofErr w:type="spellStart"/>
      <w:r w:rsidRPr="00A37872">
        <w:rPr>
          <w:rFonts w:ascii="Arial" w:hAnsi="Arial" w:cs="Arial"/>
        </w:rPr>
        <w:t>ex Knight</w:t>
      </w:r>
      <w:proofErr w:type="spellEnd"/>
      <w:r w:rsidRPr="00A37872">
        <w:rPr>
          <w:rFonts w:ascii="Arial" w:hAnsi="Arial" w:cs="Arial"/>
        </w:rPr>
        <w:t xml:space="preserve"> or ‘blushing bride’, and </w:t>
      </w:r>
      <w:r w:rsidRPr="00A37872">
        <w:rPr>
          <w:rFonts w:ascii="Arial" w:hAnsi="Arial" w:cs="Arial"/>
          <w:i/>
          <w:iCs/>
        </w:rPr>
        <w:t xml:space="preserve">S. </w:t>
      </w:r>
      <w:proofErr w:type="spellStart"/>
      <w:r w:rsidRPr="00A37872">
        <w:rPr>
          <w:rFonts w:ascii="Arial" w:hAnsi="Arial" w:cs="Arial"/>
          <w:i/>
          <w:iCs/>
        </w:rPr>
        <w:t>phylicoides</w:t>
      </w:r>
      <w:proofErr w:type="spellEnd"/>
      <w:r w:rsidRPr="00A37872">
        <w:rPr>
          <w:rFonts w:ascii="Arial" w:hAnsi="Arial" w:cs="Arial"/>
        </w:rPr>
        <w:t xml:space="preserve"> (</w:t>
      </w:r>
      <w:proofErr w:type="spellStart"/>
      <w:r w:rsidRPr="00A37872">
        <w:rPr>
          <w:rFonts w:ascii="Arial" w:hAnsi="Arial" w:cs="Arial"/>
        </w:rPr>
        <w:t>P.J.Bergius</w:t>
      </w:r>
      <w:proofErr w:type="spellEnd"/>
      <w:r w:rsidRPr="00A37872">
        <w:rPr>
          <w:rFonts w:ascii="Arial" w:hAnsi="Arial" w:cs="Arial"/>
        </w:rPr>
        <w:t xml:space="preserve">) R.Br. or ‘raspberry burst’ already available on the market. The last comprehensive revision of </w:t>
      </w:r>
      <w:proofErr w:type="spellStart"/>
      <w:r w:rsidRPr="00A37872">
        <w:rPr>
          <w:rFonts w:ascii="Arial" w:hAnsi="Arial" w:cs="Arial"/>
          <w:i/>
          <w:iCs/>
        </w:rPr>
        <w:t>Serruria</w:t>
      </w:r>
      <w:proofErr w:type="spellEnd"/>
      <w:r w:rsidRPr="00A37872">
        <w:rPr>
          <w:rFonts w:ascii="Arial" w:hAnsi="Arial" w:cs="Arial"/>
        </w:rPr>
        <w:t xml:space="preserve"> was conducted by Phillips and Hutchinson in 1912, dividing the genus into two sections based on inflorescence structure. Since then, extensive herbarium collections and distribution data have accumulated (e.g. with help from the Protea Atlas Project), and phylogenetic studies have confirmed </w:t>
      </w:r>
      <w:proofErr w:type="spellStart"/>
      <w:r w:rsidRPr="00A37872">
        <w:rPr>
          <w:rFonts w:ascii="Arial" w:hAnsi="Arial" w:cs="Arial"/>
          <w:i/>
          <w:iCs/>
        </w:rPr>
        <w:t>Serruria</w:t>
      </w:r>
      <w:proofErr w:type="spellEnd"/>
      <w:r w:rsidRPr="00A37872">
        <w:rPr>
          <w:rFonts w:ascii="Arial" w:hAnsi="Arial" w:cs="Arial"/>
        </w:rPr>
        <w:t xml:space="preserve"> as monophyletic, though inconsistencies remain in proposed infrageneric classifications. Given the outdated taxonomy, inconsistencies in classification, larger collections now available, high conservation concerns, and horticultural potential, </w:t>
      </w:r>
      <w:proofErr w:type="spellStart"/>
      <w:r w:rsidRPr="00A37872">
        <w:rPr>
          <w:rFonts w:ascii="Arial" w:hAnsi="Arial" w:cs="Arial"/>
          <w:i/>
          <w:iCs/>
        </w:rPr>
        <w:t>Serruria</w:t>
      </w:r>
      <w:proofErr w:type="spellEnd"/>
      <w:r w:rsidRPr="00A37872">
        <w:rPr>
          <w:rFonts w:ascii="Arial" w:hAnsi="Arial" w:cs="Arial"/>
        </w:rPr>
        <w:t xml:space="preserve"> urgently requires systematic re-evaluation and is </w:t>
      </w:r>
      <w:hyperlink w:history="1">
        <w:r w:rsidRPr="00A37872">
          <w:rPr>
            <w:rStyle w:val="Hyperlink"/>
            <w:rFonts w:ascii="Arial" w:hAnsi="Arial" w:cs="Arial"/>
          </w:rPr>
          <w:t>listed</w:t>
        </w:r>
      </w:hyperlink>
      <w:r w:rsidRPr="00A37872">
        <w:rPr>
          <w:rFonts w:ascii="Arial" w:hAnsi="Arial" w:cs="Arial"/>
        </w:rPr>
        <w:t xml:space="preserve"> as a priority based on the strategy, </w:t>
      </w:r>
      <w:hyperlink w:history="1">
        <w:r w:rsidRPr="00A37872">
          <w:rPr>
            <w:rStyle w:val="Hyperlink"/>
            <w:rFonts w:ascii="Arial" w:hAnsi="Arial" w:cs="Arial"/>
            <w:b/>
            <w:bCs/>
          </w:rPr>
          <w:t>Research plan for plant taxonomy in SA 2020-2030</w:t>
        </w:r>
      </w:hyperlink>
      <w:r w:rsidRPr="00A37872">
        <w:rPr>
          <w:rFonts w:ascii="Arial" w:hAnsi="Arial" w:cs="Arial"/>
        </w:rPr>
        <w:t>.</w:t>
      </w:r>
    </w:p>
    <w:p w14:paraId="2E40F09C" w14:textId="77777777" w:rsidR="00A37872" w:rsidRPr="004A1AD1" w:rsidRDefault="00A37872" w:rsidP="00A37872">
      <w:pPr>
        <w:spacing w:after="0" w:line="240" w:lineRule="auto"/>
        <w:ind w:left="57" w:right="57"/>
        <w:rPr>
          <w:rFonts w:ascii="Arial" w:hAnsi="Arial" w:cs="Arial"/>
        </w:rPr>
      </w:pPr>
      <w:r w:rsidRPr="004A1AD1">
        <w:rPr>
          <w:rFonts w:ascii="Arial" w:hAnsi="Arial" w:cs="Arial"/>
        </w:rPr>
        <w:br w:type="page"/>
      </w:r>
    </w:p>
    <w:p w14:paraId="6D28F52C" w14:textId="77777777" w:rsidR="00A37872" w:rsidRPr="00A37872" w:rsidRDefault="00A37872" w:rsidP="00A37872">
      <w:pPr>
        <w:spacing w:after="0" w:line="240" w:lineRule="auto"/>
        <w:ind w:left="57" w:right="57"/>
        <w:rPr>
          <w:rFonts w:ascii="Arial" w:hAnsi="Arial" w:cs="Arial"/>
        </w:rPr>
      </w:pPr>
      <w:r w:rsidRPr="00A37872">
        <w:rPr>
          <w:rFonts w:ascii="Arial" w:hAnsi="Arial" w:cs="Arial"/>
          <w:b/>
          <w:bCs/>
        </w:rPr>
        <w:lastRenderedPageBreak/>
        <w:t>Title:</w:t>
      </w:r>
      <w:r w:rsidRPr="00A37872">
        <w:rPr>
          <w:rFonts w:ascii="Arial" w:hAnsi="Arial" w:cs="Arial"/>
        </w:rPr>
        <w:t xml:space="preserve"> Ensuring conservation of Honeybush (Cyclopia) as an important emerging indigenous crop in Cape fynbos</w:t>
      </w:r>
    </w:p>
    <w:p w14:paraId="0C5B58AF" w14:textId="2F59BAB7" w:rsidR="00A37872" w:rsidRPr="00A37872" w:rsidRDefault="00A37872" w:rsidP="00A37872">
      <w:pPr>
        <w:spacing w:after="0" w:line="240" w:lineRule="auto"/>
        <w:ind w:left="57" w:right="57"/>
        <w:rPr>
          <w:rFonts w:ascii="Arial" w:hAnsi="Arial" w:cs="Arial"/>
        </w:rPr>
      </w:pPr>
      <w:r w:rsidRPr="00A37872">
        <w:rPr>
          <w:rFonts w:ascii="Arial" w:hAnsi="Arial" w:cs="Arial"/>
          <w:b/>
          <w:bCs/>
        </w:rPr>
        <w:t>Level:</w:t>
      </w:r>
      <w:r w:rsidRPr="00A37872">
        <w:rPr>
          <w:rFonts w:ascii="Arial" w:hAnsi="Arial" w:cs="Arial"/>
        </w:rPr>
        <w:t xml:space="preserve"> Doctoral</w:t>
      </w:r>
    </w:p>
    <w:p w14:paraId="2765EB0C" w14:textId="77777777" w:rsidR="00A37872" w:rsidRPr="00A37872" w:rsidRDefault="00A37872" w:rsidP="00A37872">
      <w:pPr>
        <w:spacing w:after="0" w:line="240" w:lineRule="auto"/>
        <w:ind w:left="57" w:right="57"/>
        <w:rPr>
          <w:rFonts w:ascii="Arial" w:hAnsi="Arial" w:cs="Arial"/>
        </w:rPr>
      </w:pPr>
      <w:r w:rsidRPr="00A37872">
        <w:rPr>
          <w:rFonts w:ascii="Arial" w:hAnsi="Arial" w:cs="Arial"/>
          <w:b/>
          <w:bCs/>
        </w:rPr>
        <w:t>Field:</w:t>
      </w:r>
      <w:r w:rsidRPr="00A37872">
        <w:rPr>
          <w:rFonts w:ascii="Arial" w:hAnsi="Arial" w:cs="Arial"/>
        </w:rPr>
        <w:t xml:space="preserve"> Biodiversity Conservation </w:t>
      </w:r>
    </w:p>
    <w:p w14:paraId="0BF6EB0D" w14:textId="6A98456E" w:rsidR="00A37872" w:rsidRPr="00A37872" w:rsidRDefault="00A37872" w:rsidP="00A37872">
      <w:pPr>
        <w:spacing w:after="0" w:line="240" w:lineRule="auto"/>
        <w:ind w:left="57" w:right="57"/>
        <w:rPr>
          <w:rFonts w:ascii="Arial" w:hAnsi="Arial" w:cs="Arial"/>
        </w:rPr>
      </w:pPr>
      <w:r w:rsidRPr="00A37872">
        <w:rPr>
          <w:rFonts w:ascii="Arial" w:hAnsi="Arial" w:cs="Arial"/>
          <w:b/>
          <w:bCs/>
        </w:rPr>
        <w:t>Supervisors:</w:t>
      </w:r>
      <w:r w:rsidRPr="00A37872">
        <w:rPr>
          <w:rFonts w:ascii="Arial" w:hAnsi="Arial" w:cs="Arial"/>
        </w:rPr>
        <w:t xml:space="preserve"> Prof Sjirk Geerts (CPUT) </w:t>
      </w:r>
      <w:hyperlink r:id="rId5" w:history="1">
        <w:r w:rsidRPr="00A37872">
          <w:rPr>
            <w:rStyle w:val="Hyperlink"/>
            <w:rFonts w:ascii="Arial" w:eastAsia="Times New Roman" w:hAnsi="Arial" w:cs="Arial"/>
            <w:color w:val="auto"/>
            <w:u w:val="none"/>
            <w:lang w:val="en-US" w:eastAsia="en-ZA"/>
          </w:rPr>
          <w:t>GEERTSS@cput.ac.za</w:t>
        </w:r>
      </w:hyperlink>
      <w:r w:rsidRPr="00A37872">
        <w:rPr>
          <w:rFonts w:ascii="Arial" w:eastAsia="Times New Roman" w:hAnsi="Arial" w:cs="Arial"/>
          <w:lang w:val="en-US" w:eastAsia="en-ZA"/>
        </w:rPr>
        <w:t xml:space="preserve"> and </w:t>
      </w:r>
      <w:r w:rsidRPr="00A37872">
        <w:rPr>
          <w:rFonts w:ascii="Arial" w:hAnsi="Arial" w:cs="Arial"/>
        </w:rPr>
        <w:t xml:space="preserve">Dr Mlungele Nsikani (SANBI) </w:t>
      </w:r>
      <w:hyperlink r:id="rId6" w:history="1">
        <w:r w:rsidRPr="00A37872">
          <w:rPr>
            <w:rStyle w:val="Hyperlink"/>
            <w:rFonts w:ascii="Arial" w:hAnsi="Arial" w:cs="Arial"/>
            <w:color w:val="auto"/>
            <w:u w:val="none"/>
          </w:rPr>
          <w:t>m.nsikani@sanbi.org.za</w:t>
        </w:r>
      </w:hyperlink>
      <w:r w:rsidRPr="00A37872">
        <w:rPr>
          <w:rFonts w:ascii="Arial" w:hAnsi="Arial" w:cs="Arial"/>
        </w:rPr>
        <w:t xml:space="preserve"> </w:t>
      </w:r>
    </w:p>
    <w:p w14:paraId="1AA41456" w14:textId="77777777" w:rsidR="00A37872" w:rsidRPr="00A37872" w:rsidRDefault="00A37872" w:rsidP="00A37872">
      <w:pPr>
        <w:spacing w:after="0" w:line="240" w:lineRule="auto"/>
        <w:ind w:left="57" w:right="57"/>
        <w:rPr>
          <w:rFonts w:ascii="Arial" w:hAnsi="Arial" w:cs="Arial"/>
        </w:rPr>
      </w:pPr>
      <w:r w:rsidRPr="00A37872">
        <w:rPr>
          <w:rFonts w:ascii="Arial" w:hAnsi="Arial" w:cs="Arial"/>
          <w:b/>
          <w:bCs/>
        </w:rPr>
        <w:t>University of registration:</w:t>
      </w:r>
      <w:r w:rsidRPr="00A37872">
        <w:rPr>
          <w:rFonts w:ascii="Arial" w:hAnsi="Arial" w:cs="Arial"/>
        </w:rPr>
        <w:t xml:space="preserve"> Cape Peninsula University of Technology</w:t>
      </w:r>
    </w:p>
    <w:p w14:paraId="3C0FD6D5" w14:textId="77777777" w:rsidR="00A37872" w:rsidRPr="00A37872" w:rsidRDefault="00A37872" w:rsidP="00A37872">
      <w:pPr>
        <w:spacing w:after="0" w:line="240" w:lineRule="auto"/>
        <w:ind w:left="57" w:right="57"/>
        <w:rPr>
          <w:rFonts w:ascii="Arial" w:hAnsi="Arial" w:cs="Arial"/>
        </w:rPr>
      </w:pPr>
    </w:p>
    <w:p w14:paraId="158088A4" w14:textId="576FAFA4" w:rsidR="00A37872" w:rsidRPr="00A37872" w:rsidRDefault="00A37872" w:rsidP="00A37872">
      <w:pPr>
        <w:spacing w:after="0" w:line="240" w:lineRule="auto"/>
        <w:ind w:left="57" w:right="57"/>
        <w:rPr>
          <w:rFonts w:ascii="Arial" w:hAnsi="Arial" w:cs="Arial"/>
          <w:b/>
          <w:bCs/>
        </w:rPr>
      </w:pPr>
      <w:r w:rsidRPr="00A37872">
        <w:rPr>
          <w:rFonts w:ascii="Arial" w:hAnsi="Arial" w:cs="Arial"/>
          <w:b/>
          <w:bCs/>
        </w:rPr>
        <w:t>Description:</w:t>
      </w:r>
    </w:p>
    <w:p w14:paraId="46B1768E" w14:textId="77777777" w:rsidR="00A37872" w:rsidRPr="00A37872" w:rsidRDefault="00A37872" w:rsidP="00A37872">
      <w:pPr>
        <w:spacing w:after="0" w:line="240" w:lineRule="auto"/>
        <w:ind w:left="57" w:right="57"/>
        <w:rPr>
          <w:rFonts w:ascii="Arial" w:hAnsi="Arial" w:cs="Arial"/>
        </w:rPr>
      </w:pPr>
      <w:r w:rsidRPr="00A37872">
        <w:rPr>
          <w:rFonts w:ascii="Arial" w:hAnsi="Arial" w:cs="Arial"/>
        </w:rPr>
        <w:t>Honeybush (Cyclopia Vent.) is an endemic genus in the fynbos biome with considerable commercial value in the global tea industry (Schutte, 1997; Karsen 2022). With the expansion of this industry, cultivation is essential to prevent the over exploitation of this natural resource (Bester, 2013). Approximately 85% of wild harvested honeybush is composed of one species, Cyclopia intermedia (Joubert et al., 2011). Six of the 21 Cyclopia species are used commercially. For cultivation, species have been moved across their native range which has opened the possibility for cross-fertilization between wild and cultivated plants from different lineages within species but also between species (</w:t>
      </w:r>
      <w:proofErr w:type="spellStart"/>
      <w:r w:rsidRPr="00A37872">
        <w:rPr>
          <w:rFonts w:ascii="Arial" w:hAnsi="Arial" w:cs="Arial"/>
        </w:rPr>
        <w:t>Galuszynski</w:t>
      </w:r>
      <w:proofErr w:type="spellEnd"/>
      <w:r w:rsidRPr="00A37872">
        <w:rPr>
          <w:rFonts w:ascii="Arial" w:hAnsi="Arial" w:cs="Arial"/>
        </w:rPr>
        <w:t xml:space="preserve"> &amp; Potts, 2020). Indeed, it has been shown that pollinators travel between wild and cultivated plants (Shaw pers. comm.). Based on this it, it is important to develop biodiversity friendly farming practices to minimize genetic contamination of wild honeybush. This is a core aspect of the biodiversity economy. </w:t>
      </w:r>
    </w:p>
    <w:p w14:paraId="211E02E0" w14:textId="77777777" w:rsidR="00A37872" w:rsidRPr="00A37872" w:rsidRDefault="00A37872" w:rsidP="00A37872">
      <w:pPr>
        <w:spacing w:after="0" w:line="240" w:lineRule="auto"/>
        <w:ind w:left="57" w:right="57"/>
        <w:rPr>
          <w:rFonts w:ascii="Arial" w:hAnsi="Arial" w:cs="Arial"/>
        </w:rPr>
      </w:pPr>
    </w:p>
    <w:p w14:paraId="17610453" w14:textId="77777777" w:rsidR="00A37872" w:rsidRPr="00A37872" w:rsidRDefault="00A37872" w:rsidP="00A37872">
      <w:pPr>
        <w:spacing w:after="0" w:line="240" w:lineRule="auto"/>
        <w:ind w:left="57" w:right="57"/>
        <w:rPr>
          <w:rFonts w:ascii="Arial" w:hAnsi="Arial" w:cs="Arial"/>
        </w:rPr>
      </w:pPr>
      <w:r w:rsidRPr="00A37872">
        <w:rPr>
          <w:rFonts w:ascii="Arial" w:hAnsi="Arial" w:cs="Arial"/>
        </w:rPr>
        <w:t xml:space="preserve">This can be accomplished through the development of a planting protocol which should consider native range, flowering time, ploidy levels, seed dispersal, distance to wild populations and seed source. Furthermore, a molecular approach for the detection of gene flow between wild and cultivated plants can be utilized (some methods are available, see </w:t>
      </w:r>
      <w:proofErr w:type="spellStart"/>
      <w:r w:rsidRPr="00A37872">
        <w:rPr>
          <w:rFonts w:ascii="Arial" w:hAnsi="Arial" w:cs="Arial"/>
        </w:rPr>
        <w:t>Galuszynski</w:t>
      </w:r>
      <w:proofErr w:type="spellEnd"/>
      <w:r w:rsidRPr="00A37872">
        <w:rPr>
          <w:rFonts w:ascii="Arial" w:hAnsi="Arial" w:cs="Arial"/>
        </w:rPr>
        <w:t xml:space="preserve"> &amp; Potts 2020). Gene flow through seed dispersal is thought to be low in Cyclopia but unexplored (see Schutte et al., 1995; Schutte, 1997), as is the importance of ploidy levels in both wild and cultivated population contamination. Generating and implementing a protocol to conserve Cyclopia whilst also being sustainable planted, forms an integral part of this project.  And in doing so provide a platform of foundational biodiversity knowledge to inform applied projects.</w:t>
      </w:r>
    </w:p>
    <w:p w14:paraId="7FEF996C" w14:textId="77777777" w:rsidR="00A37872" w:rsidRPr="004A1AD1" w:rsidRDefault="00A37872" w:rsidP="00A37872">
      <w:pPr>
        <w:spacing w:after="0" w:line="240" w:lineRule="auto"/>
        <w:ind w:left="57" w:right="57"/>
        <w:rPr>
          <w:rFonts w:ascii="Arial" w:hAnsi="Arial" w:cs="Arial"/>
        </w:rPr>
      </w:pPr>
    </w:p>
    <w:p w14:paraId="25DDCA0F" w14:textId="77777777" w:rsidR="00A37872" w:rsidRPr="004A1AD1" w:rsidRDefault="00A37872" w:rsidP="00A37872">
      <w:pPr>
        <w:spacing w:after="0" w:line="240" w:lineRule="auto"/>
        <w:ind w:left="57" w:right="57"/>
        <w:rPr>
          <w:rFonts w:ascii="Arial" w:hAnsi="Arial" w:cs="Arial"/>
        </w:rPr>
      </w:pPr>
      <w:r w:rsidRPr="004A1AD1">
        <w:rPr>
          <w:rFonts w:ascii="Arial" w:hAnsi="Arial" w:cs="Arial"/>
        </w:rPr>
        <w:t xml:space="preserve">Importantly, the current community honeybush farming initiatives in reducing wild harvesting and simultaneously uplifting communities, will be evaluated. Current community projects have had successes, but these need to be scaled up and expanded to fully utilise the benefits of farming honeybush as an indigenous crop. Through purposive sampling, the economic viability of government funded honeybush farming projects can be quantified. The potential role commercial farmers can play in community honeybush projects will also be investigated.  As such, the state of </w:t>
      </w:r>
      <w:proofErr w:type="spellStart"/>
      <w:r w:rsidRPr="004A1AD1">
        <w:rPr>
          <w:rFonts w:ascii="Arial" w:hAnsi="Arial" w:cs="Arial"/>
        </w:rPr>
        <w:t>a</w:t>
      </w:r>
      <w:proofErr w:type="spellEnd"/>
      <w:r w:rsidRPr="004A1AD1">
        <w:rPr>
          <w:rFonts w:ascii="Arial" w:hAnsi="Arial" w:cs="Arial"/>
        </w:rPr>
        <w:t xml:space="preserve"> important indigenous crop, including pressures and responses, will be assessed and findings used to create policies and improve decision making.</w:t>
      </w:r>
    </w:p>
    <w:p w14:paraId="2BC919BA" w14:textId="75253D2E" w:rsidR="00A37872" w:rsidRDefault="00A37872">
      <w:pPr>
        <w:spacing w:line="278" w:lineRule="auto"/>
      </w:pPr>
      <w:r>
        <w:br w:type="page"/>
      </w:r>
    </w:p>
    <w:p w14:paraId="47AEFBDF" w14:textId="77777777" w:rsidR="00A37872" w:rsidRPr="00A37872" w:rsidRDefault="00A37872" w:rsidP="00A37872">
      <w:pPr>
        <w:spacing w:after="0" w:line="240" w:lineRule="auto"/>
        <w:rPr>
          <w:rFonts w:ascii="Arial" w:hAnsi="Arial" w:cs="Arial"/>
          <w:b/>
          <w:bCs/>
        </w:rPr>
      </w:pPr>
      <w:r w:rsidRPr="00A37872">
        <w:rPr>
          <w:rFonts w:ascii="Arial" w:hAnsi="Arial" w:cs="Arial"/>
          <w:b/>
          <w:bCs/>
        </w:rPr>
        <w:lastRenderedPageBreak/>
        <w:t xml:space="preserve">Title: </w:t>
      </w:r>
      <w:r w:rsidRPr="00A37872">
        <w:rPr>
          <w:rFonts w:ascii="Arial" w:hAnsi="Arial" w:cs="Arial"/>
        </w:rPr>
        <w:t xml:space="preserve">Thermal stress resilience as a key driver of </w:t>
      </w:r>
      <w:proofErr w:type="spellStart"/>
      <w:r w:rsidRPr="00A37872">
        <w:rPr>
          <w:rFonts w:ascii="Arial" w:hAnsi="Arial" w:cs="Arial"/>
        </w:rPr>
        <w:t>Prostephanus</w:t>
      </w:r>
      <w:proofErr w:type="spellEnd"/>
      <w:r w:rsidRPr="00A37872">
        <w:rPr>
          <w:rFonts w:ascii="Arial" w:hAnsi="Arial" w:cs="Arial"/>
        </w:rPr>
        <w:t xml:space="preserve"> </w:t>
      </w:r>
      <w:proofErr w:type="spellStart"/>
      <w:r w:rsidRPr="00A37872">
        <w:rPr>
          <w:rFonts w:ascii="Arial" w:hAnsi="Arial" w:cs="Arial"/>
        </w:rPr>
        <w:t>truncatus</w:t>
      </w:r>
      <w:proofErr w:type="spellEnd"/>
      <w:r w:rsidRPr="00A37872">
        <w:rPr>
          <w:rFonts w:ascii="Arial" w:hAnsi="Arial" w:cs="Arial"/>
        </w:rPr>
        <w:t xml:space="preserve"> (Horn) invasion success</w:t>
      </w:r>
    </w:p>
    <w:p w14:paraId="1F017E6B" w14:textId="1AD26E42" w:rsidR="00A37872" w:rsidRPr="00A37872" w:rsidRDefault="00A37872" w:rsidP="00A37872">
      <w:pPr>
        <w:spacing w:after="0" w:line="240" w:lineRule="auto"/>
        <w:rPr>
          <w:rFonts w:ascii="Arial" w:hAnsi="Arial" w:cs="Arial"/>
          <w:b/>
          <w:bCs/>
        </w:rPr>
      </w:pPr>
      <w:r w:rsidRPr="00A37872">
        <w:rPr>
          <w:rFonts w:ascii="Arial" w:hAnsi="Arial" w:cs="Arial"/>
          <w:b/>
          <w:bCs/>
        </w:rPr>
        <w:t xml:space="preserve">Level: </w:t>
      </w:r>
      <w:r w:rsidR="007C3826" w:rsidRPr="00100933">
        <w:rPr>
          <w:rFonts w:ascii="Arial" w:hAnsi="Arial" w:cs="Arial"/>
        </w:rPr>
        <w:t>Doctoral</w:t>
      </w:r>
    </w:p>
    <w:p w14:paraId="175B91A3" w14:textId="77777777" w:rsidR="00A37872" w:rsidRPr="00A37872" w:rsidRDefault="00A37872" w:rsidP="00A37872">
      <w:pPr>
        <w:spacing w:after="0" w:line="240" w:lineRule="auto"/>
        <w:rPr>
          <w:rFonts w:ascii="Arial" w:hAnsi="Arial" w:cs="Arial"/>
        </w:rPr>
      </w:pPr>
      <w:r w:rsidRPr="00A37872">
        <w:rPr>
          <w:rFonts w:ascii="Arial" w:hAnsi="Arial" w:cs="Arial"/>
          <w:b/>
          <w:bCs/>
        </w:rPr>
        <w:t>Field</w:t>
      </w:r>
      <w:r w:rsidRPr="00A37872">
        <w:rPr>
          <w:rFonts w:ascii="Arial" w:hAnsi="Arial" w:cs="Arial"/>
        </w:rPr>
        <w:t>: Ecology</w:t>
      </w:r>
    </w:p>
    <w:p w14:paraId="560C5FA6" w14:textId="3819BE62" w:rsidR="00A37872" w:rsidRPr="00A37872" w:rsidRDefault="00A37872" w:rsidP="00A37872">
      <w:pPr>
        <w:spacing w:after="0" w:line="240" w:lineRule="auto"/>
        <w:rPr>
          <w:rFonts w:ascii="Arial" w:hAnsi="Arial" w:cs="Arial"/>
        </w:rPr>
      </w:pPr>
      <w:r w:rsidRPr="00A37872">
        <w:rPr>
          <w:rFonts w:ascii="Arial" w:hAnsi="Arial" w:cs="Arial"/>
          <w:b/>
          <w:bCs/>
        </w:rPr>
        <w:t>Supervisors:</w:t>
      </w:r>
      <w:r w:rsidRPr="00A37872">
        <w:rPr>
          <w:rFonts w:ascii="Arial" w:hAnsi="Arial" w:cs="Arial"/>
        </w:rPr>
        <w:t xml:space="preserve"> </w:t>
      </w:r>
      <w:proofErr w:type="spellStart"/>
      <w:r w:rsidRPr="00A37872">
        <w:rPr>
          <w:rFonts w:ascii="Arial" w:hAnsi="Arial" w:cs="Arial"/>
        </w:rPr>
        <w:t>Dr.</w:t>
      </w:r>
      <w:proofErr w:type="spellEnd"/>
      <w:r w:rsidRPr="00A37872">
        <w:rPr>
          <w:rFonts w:ascii="Arial" w:hAnsi="Arial" w:cs="Arial"/>
        </w:rPr>
        <w:t xml:space="preserve"> Honest </w:t>
      </w:r>
      <w:proofErr w:type="spellStart"/>
      <w:r w:rsidRPr="00A37872">
        <w:rPr>
          <w:rFonts w:ascii="Arial" w:hAnsi="Arial" w:cs="Arial"/>
        </w:rPr>
        <w:t>Machekano</w:t>
      </w:r>
      <w:proofErr w:type="spellEnd"/>
      <w:r w:rsidRPr="00A37872">
        <w:rPr>
          <w:rFonts w:ascii="Arial" w:hAnsi="Arial" w:cs="Arial"/>
        </w:rPr>
        <w:t xml:space="preserve"> (UP) </w:t>
      </w:r>
      <w:hyperlink r:id="rId7" w:history="1">
        <w:r w:rsidRPr="00A37872">
          <w:rPr>
            <w:rStyle w:val="Hyperlink"/>
            <w:rFonts w:ascii="Arial" w:hAnsi="Arial" w:cs="Arial"/>
            <w:color w:val="auto"/>
            <w:u w:val="none"/>
          </w:rPr>
          <w:t>honest.machekano@up.ac.za</w:t>
        </w:r>
      </w:hyperlink>
      <w:r w:rsidRPr="00A37872">
        <w:rPr>
          <w:rStyle w:val="Hyperlink"/>
          <w:rFonts w:ascii="Arial" w:hAnsi="Arial" w:cs="Arial"/>
          <w:color w:val="auto"/>
          <w:u w:val="none"/>
        </w:rPr>
        <w:t xml:space="preserve"> and Dr Moleseng Moshobane (SANBI) M.Moshobane@sanbi.org.za</w:t>
      </w:r>
    </w:p>
    <w:p w14:paraId="2EEEC79F" w14:textId="77777777" w:rsidR="00A37872" w:rsidRPr="00A37872" w:rsidRDefault="00A37872" w:rsidP="00A37872">
      <w:pPr>
        <w:spacing w:after="0" w:line="240" w:lineRule="auto"/>
        <w:rPr>
          <w:rFonts w:ascii="Arial" w:hAnsi="Arial" w:cs="Arial"/>
        </w:rPr>
      </w:pPr>
      <w:r w:rsidRPr="00A37872">
        <w:rPr>
          <w:rFonts w:ascii="Arial" w:hAnsi="Arial" w:cs="Arial"/>
          <w:b/>
          <w:bCs/>
        </w:rPr>
        <w:t>University for registration:</w:t>
      </w:r>
      <w:r w:rsidRPr="00A37872">
        <w:rPr>
          <w:rFonts w:ascii="Arial" w:hAnsi="Arial" w:cs="Arial"/>
        </w:rPr>
        <w:t xml:space="preserve"> University of Pretoria</w:t>
      </w:r>
    </w:p>
    <w:p w14:paraId="1B4727A3" w14:textId="77777777" w:rsidR="00A37872" w:rsidRPr="00A37872" w:rsidRDefault="00A37872" w:rsidP="00A37872">
      <w:pPr>
        <w:spacing w:after="0" w:line="240" w:lineRule="auto"/>
        <w:rPr>
          <w:rFonts w:ascii="Arial" w:hAnsi="Arial" w:cs="Arial"/>
        </w:rPr>
      </w:pPr>
    </w:p>
    <w:p w14:paraId="575011FC" w14:textId="14F790F8" w:rsidR="00A37872" w:rsidRPr="00A37872" w:rsidRDefault="00A37872" w:rsidP="00A37872">
      <w:pPr>
        <w:spacing w:after="0" w:line="240" w:lineRule="auto"/>
        <w:rPr>
          <w:rFonts w:ascii="Arial" w:hAnsi="Arial" w:cs="Arial"/>
          <w:b/>
          <w:bCs/>
        </w:rPr>
      </w:pPr>
      <w:r w:rsidRPr="00A37872">
        <w:rPr>
          <w:rFonts w:ascii="Arial" w:hAnsi="Arial" w:cs="Arial"/>
          <w:b/>
          <w:bCs/>
        </w:rPr>
        <w:t>Description:</w:t>
      </w:r>
    </w:p>
    <w:p w14:paraId="13C84E51" w14:textId="77777777" w:rsidR="00A37872" w:rsidRPr="00A37872" w:rsidRDefault="00A37872" w:rsidP="00A37872">
      <w:pPr>
        <w:spacing w:after="0" w:line="240" w:lineRule="auto"/>
        <w:rPr>
          <w:rFonts w:ascii="Arial" w:hAnsi="Arial" w:cs="Arial"/>
        </w:rPr>
      </w:pPr>
      <w:r w:rsidRPr="00A37872">
        <w:rPr>
          <w:rFonts w:ascii="Arial" w:hAnsi="Arial" w:cs="Arial"/>
        </w:rPr>
        <w:t>Invasive pest species are a major threat to ecosystems and biodiversity. Climate warming and biological invasions are key drivers of biodiversity change (</w:t>
      </w:r>
      <w:proofErr w:type="spellStart"/>
      <w:r w:rsidRPr="00A37872">
        <w:rPr>
          <w:rFonts w:ascii="Arial" w:hAnsi="Arial" w:cs="Arial"/>
        </w:rPr>
        <w:t>Sentis</w:t>
      </w:r>
      <w:proofErr w:type="spellEnd"/>
      <w:r w:rsidRPr="00A37872">
        <w:rPr>
          <w:rFonts w:ascii="Arial" w:hAnsi="Arial" w:cs="Arial"/>
        </w:rPr>
        <w:t xml:space="preserve"> et al., 2021), however, the influence of invasive species’ thermal responses to its invasion potential remain largely unexplored for new species. The larger grain borer, </w:t>
      </w:r>
      <w:proofErr w:type="spellStart"/>
      <w:r w:rsidRPr="00A37872">
        <w:rPr>
          <w:rFonts w:ascii="Arial" w:hAnsi="Arial" w:cs="Arial"/>
          <w:i/>
          <w:iCs/>
        </w:rPr>
        <w:t>Prostephanus</w:t>
      </w:r>
      <w:proofErr w:type="spellEnd"/>
      <w:r w:rsidRPr="00A37872">
        <w:rPr>
          <w:rFonts w:ascii="Arial" w:hAnsi="Arial" w:cs="Arial"/>
          <w:i/>
          <w:iCs/>
        </w:rPr>
        <w:t xml:space="preserve"> </w:t>
      </w:r>
      <w:proofErr w:type="spellStart"/>
      <w:r w:rsidRPr="00A37872">
        <w:rPr>
          <w:rFonts w:ascii="Arial" w:hAnsi="Arial" w:cs="Arial"/>
          <w:i/>
          <w:iCs/>
        </w:rPr>
        <w:t>truncatus</w:t>
      </w:r>
      <w:proofErr w:type="spellEnd"/>
      <w:r w:rsidRPr="00A37872">
        <w:rPr>
          <w:rFonts w:ascii="Arial" w:hAnsi="Arial" w:cs="Arial"/>
        </w:rPr>
        <w:t xml:space="preserve"> (Horn) (Coleoptera: </w:t>
      </w:r>
      <w:proofErr w:type="spellStart"/>
      <w:r w:rsidRPr="00A37872">
        <w:rPr>
          <w:rFonts w:ascii="Arial" w:hAnsi="Arial" w:cs="Arial"/>
        </w:rPr>
        <w:t>Bostrichidae</w:t>
      </w:r>
      <w:proofErr w:type="spellEnd"/>
      <w:r w:rsidRPr="00A37872">
        <w:rPr>
          <w:rFonts w:ascii="Arial" w:hAnsi="Arial" w:cs="Arial"/>
        </w:rPr>
        <w:t xml:space="preserve">) is an invasive pest native to Mexico and Central America (Dunstan and </w:t>
      </w:r>
      <w:proofErr w:type="spellStart"/>
      <w:r w:rsidRPr="00A37872">
        <w:rPr>
          <w:rFonts w:ascii="Arial" w:hAnsi="Arial" w:cs="Arial"/>
        </w:rPr>
        <w:t>Magazini</w:t>
      </w:r>
      <w:proofErr w:type="spellEnd"/>
      <w:r w:rsidRPr="00A37872">
        <w:rPr>
          <w:rFonts w:ascii="Arial" w:hAnsi="Arial" w:cs="Arial"/>
        </w:rPr>
        <w:t xml:space="preserve">, 1980; Hodges, 1986), that has recently invaded South Africa. </w:t>
      </w:r>
      <w:proofErr w:type="spellStart"/>
      <w:r w:rsidRPr="00A37872">
        <w:rPr>
          <w:rFonts w:ascii="Arial" w:hAnsi="Arial" w:cs="Arial"/>
          <w:i/>
          <w:iCs/>
        </w:rPr>
        <w:t>Prostephanus</w:t>
      </w:r>
      <w:proofErr w:type="spellEnd"/>
      <w:r w:rsidRPr="00A37872">
        <w:rPr>
          <w:rFonts w:ascii="Arial" w:hAnsi="Arial" w:cs="Arial"/>
          <w:i/>
          <w:iCs/>
        </w:rPr>
        <w:t xml:space="preserve"> </w:t>
      </w:r>
      <w:proofErr w:type="spellStart"/>
      <w:r w:rsidRPr="00A37872">
        <w:rPr>
          <w:rFonts w:ascii="Arial" w:hAnsi="Arial" w:cs="Arial"/>
          <w:i/>
          <w:iCs/>
        </w:rPr>
        <w:t>truncatus</w:t>
      </w:r>
      <w:proofErr w:type="spellEnd"/>
      <w:r w:rsidRPr="00A37872">
        <w:rPr>
          <w:rFonts w:ascii="Arial" w:hAnsi="Arial" w:cs="Arial"/>
        </w:rPr>
        <w:t xml:space="preserve"> is considered a quarantine pest as it is a major threat to stored maize grain and other stored products and thus a threat to national food security (</w:t>
      </w:r>
      <w:proofErr w:type="spellStart"/>
      <w:r w:rsidRPr="00A37872">
        <w:rPr>
          <w:rFonts w:ascii="Arial" w:hAnsi="Arial" w:cs="Arial"/>
        </w:rPr>
        <w:t>Muatinte</w:t>
      </w:r>
      <w:proofErr w:type="spellEnd"/>
      <w:r w:rsidRPr="00A37872">
        <w:rPr>
          <w:rFonts w:ascii="Arial" w:hAnsi="Arial" w:cs="Arial"/>
        </w:rPr>
        <w:t xml:space="preserve"> et al., 2014; </w:t>
      </w:r>
      <w:proofErr w:type="spellStart"/>
      <w:r w:rsidRPr="00A37872">
        <w:rPr>
          <w:rFonts w:ascii="Arial" w:hAnsi="Arial" w:cs="Arial"/>
        </w:rPr>
        <w:t>Muatinte</w:t>
      </w:r>
      <w:proofErr w:type="spellEnd"/>
      <w:r w:rsidRPr="00A37872">
        <w:rPr>
          <w:rFonts w:ascii="Arial" w:hAnsi="Arial" w:cs="Arial"/>
        </w:rPr>
        <w:t xml:space="preserve"> et al., 2019; Quellhorst et al., 2021). Thermal resilience is a key abiotic enabling factor of invasion success (</w:t>
      </w:r>
      <w:proofErr w:type="spellStart"/>
      <w:r w:rsidRPr="00A37872">
        <w:rPr>
          <w:rFonts w:ascii="Arial" w:hAnsi="Arial" w:cs="Arial"/>
        </w:rPr>
        <w:t>Machekano</w:t>
      </w:r>
      <w:proofErr w:type="spellEnd"/>
      <w:r w:rsidRPr="00A37872">
        <w:rPr>
          <w:rFonts w:ascii="Arial" w:hAnsi="Arial" w:cs="Arial"/>
        </w:rPr>
        <w:t xml:space="preserve"> et al 2018; Nyamukondiwa et al., 2022) with direct and indirect effects (</w:t>
      </w:r>
      <w:proofErr w:type="spellStart"/>
      <w:r w:rsidRPr="00A37872">
        <w:rPr>
          <w:rFonts w:ascii="Arial" w:hAnsi="Arial" w:cs="Arial"/>
        </w:rPr>
        <w:t>Sentis</w:t>
      </w:r>
      <w:proofErr w:type="spellEnd"/>
      <w:r w:rsidRPr="00A37872">
        <w:rPr>
          <w:rFonts w:ascii="Arial" w:hAnsi="Arial" w:cs="Arial"/>
        </w:rPr>
        <w:t xml:space="preserve"> et al., 2021). Insect warming tolerance is key compensatory mechanisms against warmer environments and the thermal safety margin (for an invader species) is an indicator of the likelihood of invasion success in a particular environment. The proximity of the environmental temperatures to a species’ thermal limits can therefore be used as proxy for species dispersal fitness within a given (potential) habitat.</w:t>
      </w:r>
    </w:p>
    <w:p w14:paraId="3FA92205" w14:textId="77777777" w:rsidR="00A37872" w:rsidRPr="00A37872" w:rsidRDefault="00A37872" w:rsidP="00A37872">
      <w:pPr>
        <w:spacing w:after="0" w:line="240" w:lineRule="auto"/>
        <w:rPr>
          <w:rFonts w:ascii="Arial" w:hAnsi="Arial" w:cs="Arial"/>
        </w:rPr>
      </w:pPr>
      <w:r w:rsidRPr="00A37872">
        <w:rPr>
          <w:rFonts w:ascii="Arial" w:hAnsi="Arial" w:cs="Arial"/>
        </w:rPr>
        <w:t>The project is designed to evaluate (</w:t>
      </w:r>
      <w:proofErr w:type="spellStart"/>
      <w:r w:rsidRPr="00A37872">
        <w:rPr>
          <w:rFonts w:ascii="Arial" w:hAnsi="Arial" w:cs="Arial"/>
        </w:rPr>
        <w:t>i</w:t>
      </w:r>
      <w:proofErr w:type="spellEnd"/>
      <w:r w:rsidRPr="00A37872">
        <w:rPr>
          <w:rFonts w:ascii="Arial" w:hAnsi="Arial" w:cs="Arial"/>
        </w:rPr>
        <w:t xml:space="preserve">) population level thermal limits of </w:t>
      </w:r>
      <w:r w:rsidRPr="00A37872">
        <w:rPr>
          <w:rFonts w:ascii="Arial" w:hAnsi="Arial" w:cs="Arial"/>
          <w:i/>
          <w:iCs/>
        </w:rPr>
        <w:t xml:space="preserve">P. </w:t>
      </w:r>
      <w:proofErr w:type="spellStart"/>
      <w:r w:rsidRPr="00A37872">
        <w:rPr>
          <w:rFonts w:ascii="Arial" w:hAnsi="Arial" w:cs="Arial"/>
          <w:i/>
          <w:iCs/>
        </w:rPr>
        <w:t>truncatus</w:t>
      </w:r>
      <w:proofErr w:type="spellEnd"/>
      <w:r w:rsidRPr="00A37872">
        <w:rPr>
          <w:rFonts w:ascii="Arial" w:hAnsi="Arial" w:cs="Arial"/>
        </w:rPr>
        <w:t xml:space="preserve"> from different key infested areas, (ii) establish the warming tolerance (WT) and the thermal safety margin (TSM) of different populations of </w:t>
      </w:r>
      <w:r w:rsidRPr="00A37872">
        <w:rPr>
          <w:rFonts w:ascii="Arial" w:hAnsi="Arial" w:cs="Arial"/>
          <w:i/>
          <w:iCs/>
        </w:rPr>
        <w:t xml:space="preserve">P. </w:t>
      </w:r>
      <w:proofErr w:type="spellStart"/>
      <w:r w:rsidRPr="00A37872">
        <w:rPr>
          <w:rFonts w:ascii="Arial" w:hAnsi="Arial" w:cs="Arial"/>
          <w:i/>
          <w:iCs/>
        </w:rPr>
        <w:t>truncatus</w:t>
      </w:r>
      <w:proofErr w:type="spellEnd"/>
      <w:r w:rsidRPr="00A37872">
        <w:rPr>
          <w:rFonts w:ascii="Arial" w:hAnsi="Arial" w:cs="Arial"/>
        </w:rPr>
        <w:t xml:space="preserve"> and show potential invasion pathways based on environmental thermal gradients in South Africa.</w:t>
      </w:r>
    </w:p>
    <w:p w14:paraId="568AF527" w14:textId="77777777" w:rsidR="00A37872" w:rsidRPr="00A37872" w:rsidRDefault="00A37872" w:rsidP="00A37872">
      <w:pPr>
        <w:spacing w:after="0" w:line="240" w:lineRule="auto"/>
        <w:rPr>
          <w:rFonts w:ascii="Arial" w:hAnsi="Arial" w:cs="Arial"/>
        </w:rPr>
      </w:pPr>
      <w:r w:rsidRPr="00A37872">
        <w:rPr>
          <w:rFonts w:ascii="Arial" w:hAnsi="Arial" w:cs="Arial"/>
        </w:rPr>
        <w:t>This is a project suitable for students interested in invasion ecology.</w:t>
      </w:r>
    </w:p>
    <w:p w14:paraId="30A90E37" w14:textId="6E149D27" w:rsidR="00100933" w:rsidRDefault="00100933">
      <w:pPr>
        <w:spacing w:line="278" w:lineRule="auto"/>
      </w:pPr>
      <w:r>
        <w:br w:type="page"/>
      </w:r>
    </w:p>
    <w:p w14:paraId="1C64B103" w14:textId="77777777" w:rsidR="00FE33D8" w:rsidRPr="00100933" w:rsidRDefault="00FE33D8" w:rsidP="00FE33D8">
      <w:pPr>
        <w:spacing w:after="0" w:line="240" w:lineRule="auto"/>
        <w:jc w:val="both"/>
        <w:rPr>
          <w:rFonts w:ascii="Arial" w:hAnsi="Arial" w:cs="Arial"/>
          <w:b/>
          <w:bCs/>
        </w:rPr>
      </w:pPr>
      <w:r w:rsidRPr="00100933">
        <w:rPr>
          <w:rFonts w:ascii="Arial" w:hAnsi="Arial" w:cs="Arial"/>
          <w:b/>
          <w:bCs/>
        </w:rPr>
        <w:lastRenderedPageBreak/>
        <w:t>Title</w:t>
      </w:r>
      <w:r w:rsidRPr="00100933">
        <w:rPr>
          <w:rFonts w:ascii="Arial" w:hAnsi="Arial" w:cs="Arial"/>
        </w:rPr>
        <w:t xml:space="preserve">: The tick </w:t>
      </w:r>
      <w:proofErr w:type="spellStart"/>
      <w:r w:rsidRPr="00100933">
        <w:rPr>
          <w:rFonts w:ascii="Arial" w:hAnsi="Arial" w:cs="Arial"/>
        </w:rPr>
        <w:t>virome</w:t>
      </w:r>
      <w:proofErr w:type="spellEnd"/>
      <w:r w:rsidRPr="00100933">
        <w:rPr>
          <w:rFonts w:ascii="Arial" w:hAnsi="Arial" w:cs="Arial"/>
        </w:rPr>
        <w:t xml:space="preserve"> and its relationship with South African animal hosts</w:t>
      </w:r>
    </w:p>
    <w:p w14:paraId="5DE78A31" w14:textId="77777777" w:rsidR="00FE33D8" w:rsidRPr="00100933" w:rsidRDefault="00FE33D8" w:rsidP="00FE33D8">
      <w:pPr>
        <w:spacing w:after="0" w:line="240" w:lineRule="auto"/>
        <w:rPr>
          <w:rFonts w:ascii="Arial" w:hAnsi="Arial" w:cs="Arial"/>
        </w:rPr>
      </w:pPr>
      <w:r w:rsidRPr="00100933">
        <w:rPr>
          <w:rFonts w:ascii="Arial" w:hAnsi="Arial" w:cs="Arial"/>
        </w:rPr>
        <w:t xml:space="preserve">Description and link to Research Strategy (mention strategic objectives and research initiative) </w:t>
      </w:r>
    </w:p>
    <w:p w14:paraId="2AF5359B" w14:textId="4CA177D9" w:rsidR="00100933" w:rsidRPr="00100933" w:rsidRDefault="00100933" w:rsidP="00FE33D8">
      <w:pPr>
        <w:spacing w:after="0" w:line="240" w:lineRule="auto"/>
        <w:rPr>
          <w:rFonts w:ascii="Arial" w:hAnsi="Arial" w:cs="Arial"/>
          <w:b/>
          <w:bCs/>
        </w:rPr>
      </w:pPr>
      <w:r w:rsidRPr="00100933">
        <w:rPr>
          <w:rFonts w:ascii="Arial" w:hAnsi="Arial" w:cs="Arial"/>
          <w:b/>
          <w:bCs/>
        </w:rPr>
        <w:t xml:space="preserve">Level: </w:t>
      </w:r>
      <w:r w:rsidRPr="00100933">
        <w:rPr>
          <w:rFonts w:ascii="Arial" w:hAnsi="Arial" w:cs="Arial"/>
        </w:rPr>
        <w:t>Doctoral</w:t>
      </w:r>
    </w:p>
    <w:p w14:paraId="1C163D2C" w14:textId="77777777" w:rsidR="00100933" w:rsidRPr="00100933" w:rsidRDefault="00100933" w:rsidP="00FE33D8">
      <w:pPr>
        <w:spacing w:after="0" w:line="240" w:lineRule="auto"/>
        <w:rPr>
          <w:rFonts w:ascii="Arial" w:hAnsi="Arial" w:cs="Arial"/>
        </w:rPr>
      </w:pPr>
      <w:r w:rsidRPr="00100933">
        <w:rPr>
          <w:rFonts w:ascii="Arial" w:hAnsi="Arial" w:cs="Arial"/>
          <w:b/>
          <w:bCs/>
        </w:rPr>
        <w:t>Field</w:t>
      </w:r>
      <w:r w:rsidRPr="00100933">
        <w:rPr>
          <w:rFonts w:ascii="Arial" w:hAnsi="Arial" w:cs="Arial"/>
        </w:rPr>
        <w:t>: Microbiology</w:t>
      </w:r>
    </w:p>
    <w:p w14:paraId="194FD79E" w14:textId="09EA486B" w:rsidR="00FE33D8" w:rsidRDefault="00100933" w:rsidP="00FE33D8">
      <w:pPr>
        <w:spacing w:after="0" w:line="240" w:lineRule="auto"/>
        <w:rPr>
          <w:rFonts w:ascii="Arial" w:hAnsi="Arial" w:cs="Arial"/>
        </w:rPr>
      </w:pPr>
      <w:r w:rsidRPr="00100933">
        <w:rPr>
          <w:rFonts w:ascii="Arial" w:hAnsi="Arial" w:cs="Arial"/>
          <w:b/>
          <w:bCs/>
        </w:rPr>
        <w:t>Supervisor</w:t>
      </w:r>
      <w:r w:rsidR="00FE33D8" w:rsidRPr="00FE33D8">
        <w:rPr>
          <w:rFonts w:ascii="Arial" w:hAnsi="Arial" w:cs="Arial"/>
          <w:b/>
          <w:bCs/>
        </w:rPr>
        <w:t>s</w:t>
      </w:r>
      <w:r w:rsidRPr="00100933">
        <w:rPr>
          <w:rFonts w:ascii="Arial" w:hAnsi="Arial" w:cs="Arial"/>
          <w:b/>
          <w:bCs/>
        </w:rPr>
        <w:t>:</w:t>
      </w:r>
      <w:r w:rsidRPr="00100933">
        <w:rPr>
          <w:rFonts w:ascii="Arial" w:hAnsi="Arial" w:cs="Arial"/>
        </w:rPr>
        <w:t xml:space="preserve"> Dr Michael Jukes (Rhodes</w:t>
      </w:r>
      <w:r w:rsidR="00FE33D8">
        <w:rPr>
          <w:rFonts w:ascii="Arial" w:hAnsi="Arial" w:cs="Arial"/>
        </w:rPr>
        <w:t>)</w:t>
      </w:r>
      <w:r w:rsidRPr="00100933">
        <w:rPr>
          <w:rFonts w:ascii="Arial" w:hAnsi="Arial" w:cs="Arial"/>
        </w:rPr>
        <w:t xml:space="preserve"> m.jukes@ru.ac.za</w:t>
      </w:r>
      <w:r w:rsidR="00FE33D8">
        <w:rPr>
          <w:rFonts w:ascii="Arial" w:hAnsi="Arial" w:cs="Arial"/>
        </w:rPr>
        <w:t>,</w:t>
      </w:r>
      <w:r w:rsidRPr="00100933">
        <w:rPr>
          <w:rFonts w:ascii="Arial" w:hAnsi="Arial" w:cs="Arial"/>
        </w:rPr>
        <w:t xml:space="preserve"> Co-Supervisor: Dr Jamie Bojko (Teesside University</w:t>
      </w:r>
      <w:r w:rsidR="00FE33D8">
        <w:rPr>
          <w:rFonts w:ascii="Arial" w:hAnsi="Arial" w:cs="Arial"/>
        </w:rPr>
        <w:t>)</w:t>
      </w:r>
      <w:r w:rsidRPr="00100933">
        <w:rPr>
          <w:rFonts w:ascii="Arial" w:hAnsi="Arial" w:cs="Arial"/>
        </w:rPr>
        <w:t xml:space="preserve"> J.Bojko@tees.ac.uk, Co-Supervisor: Ms Nozipho Khumalo (SANBI</w:t>
      </w:r>
      <w:r w:rsidR="00FE33D8">
        <w:rPr>
          <w:rFonts w:ascii="Arial" w:hAnsi="Arial" w:cs="Arial"/>
        </w:rPr>
        <w:t>)</w:t>
      </w:r>
      <w:r w:rsidRPr="00100933">
        <w:rPr>
          <w:rFonts w:ascii="Arial" w:hAnsi="Arial" w:cs="Arial"/>
        </w:rPr>
        <w:t xml:space="preserve"> </w:t>
      </w:r>
      <w:proofErr w:type="spellStart"/>
      <w:r w:rsidRPr="00100933">
        <w:rPr>
          <w:rFonts w:ascii="Arial" w:hAnsi="Arial" w:cs="Arial"/>
        </w:rPr>
        <w:t>N.Khumalo</w:t>
      </w:r>
      <w:proofErr w:type="spellEnd"/>
      <w:r w:rsidRPr="00100933">
        <w:rPr>
          <w:rFonts w:ascii="Arial" w:hAnsi="Arial" w:cs="Arial"/>
        </w:rPr>
        <w:t>@ sanbi.org.za; Collaborator/Co-investigator: Dr Desire Dalton (Teesside University</w:t>
      </w:r>
      <w:r w:rsidR="00FE33D8">
        <w:rPr>
          <w:rFonts w:ascii="Arial" w:hAnsi="Arial" w:cs="Arial"/>
        </w:rPr>
        <w:t>)</w:t>
      </w:r>
      <w:r w:rsidRPr="00100933">
        <w:rPr>
          <w:rFonts w:ascii="Arial" w:hAnsi="Arial" w:cs="Arial"/>
        </w:rPr>
        <w:t xml:space="preserve"> </w:t>
      </w:r>
      <w:hyperlink r:id="rId8" w:history="1">
        <w:r w:rsidR="00FE33D8" w:rsidRPr="00100933">
          <w:rPr>
            <w:rStyle w:val="Hyperlink"/>
            <w:rFonts w:ascii="Arial" w:hAnsi="Arial" w:cs="Arial"/>
          </w:rPr>
          <w:t>D.Dalton@tees.ac.uk</w:t>
        </w:r>
      </w:hyperlink>
    </w:p>
    <w:p w14:paraId="4D9018B2" w14:textId="25F3E974" w:rsidR="00100933" w:rsidRPr="00100933" w:rsidRDefault="00100933" w:rsidP="00FE33D8">
      <w:pPr>
        <w:spacing w:after="0" w:line="240" w:lineRule="auto"/>
        <w:rPr>
          <w:rFonts w:ascii="Arial" w:hAnsi="Arial" w:cs="Arial"/>
        </w:rPr>
      </w:pPr>
      <w:r w:rsidRPr="00100933">
        <w:rPr>
          <w:rFonts w:ascii="Arial" w:hAnsi="Arial" w:cs="Arial"/>
          <w:b/>
          <w:bCs/>
        </w:rPr>
        <w:t>University for registration</w:t>
      </w:r>
      <w:r w:rsidRPr="00100933">
        <w:rPr>
          <w:rFonts w:ascii="Arial" w:hAnsi="Arial" w:cs="Arial"/>
        </w:rPr>
        <w:t xml:space="preserve">: Rhodes University </w:t>
      </w:r>
    </w:p>
    <w:p w14:paraId="162041B4" w14:textId="77777777" w:rsidR="00FE33D8" w:rsidRPr="00FE33D8" w:rsidRDefault="00FE33D8" w:rsidP="00FE33D8">
      <w:pPr>
        <w:spacing w:after="0" w:line="240" w:lineRule="auto"/>
        <w:jc w:val="both"/>
        <w:rPr>
          <w:rFonts w:ascii="Arial" w:hAnsi="Arial" w:cs="Arial"/>
          <w:b/>
          <w:bCs/>
        </w:rPr>
      </w:pPr>
    </w:p>
    <w:p w14:paraId="4A910F1F" w14:textId="16AD6C4B" w:rsidR="00100933" w:rsidRPr="00100933" w:rsidRDefault="00100933" w:rsidP="00FE33D8">
      <w:pPr>
        <w:spacing w:after="0" w:line="240" w:lineRule="auto"/>
        <w:jc w:val="both"/>
        <w:rPr>
          <w:rFonts w:ascii="Arial" w:hAnsi="Arial" w:cs="Arial"/>
          <w:b/>
          <w:bCs/>
        </w:rPr>
      </w:pPr>
      <w:r w:rsidRPr="00100933">
        <w:rPr>
          <w:rFonts w:ascii="Arial" w:hAnsi="Arial" w:cs="Arial"/>
          <w:b/>
          <w:bCs/>
        </w:rPr>
        <w:t>Description</w:t>
      </w:r>
    </w:p>
    <w:p w14:paraId="39FE0788" w14:textId="77777777" w:rsidR="00100933" w:rsidRPr="00100933" w:rsidRDefault="00100933" w:rsidP="00FE33D8">
      <w:pPr>
        <w:spacing w:after="0" w:line="240" w:lineRule="auto"/>
        <w:jc w:val="both"/>
        <w:rPr>
          <w:rFonts w:ascii="Arial" w:hAnsi="Arial" w:cs="Arial"/>
        </w:rPr>
      </w:pPr>
      <w:r w:rsidRPr="00100933">
        <w:rPr>
          <w:rFonts w:ascii="Arial" w:hAnsi="Arial" w:cs="Arial"/>
        </w:rPr>
        <w:t>Ticks (Arthropoda: Chelicerata) act as vectors for a wide range of pathogens (viruses, bacteria, and protozoa). These ectoparasites pose a significant threat to animal and human health, globally, with particular importance in regions, such as South Africa, with a rich biodiversity of host species groups. While considerable research has been conducted on viral, bacterial, and protozoan tick-vectored diseases (e.g. Lyme disease and babesiosis) the pathogenic viral communities (</w:t>
      </w:r>
      <w:proofErr w:type="spellStart"/>
      <w:r w:rsidRPr="00100933">
        <w:rPr>
          <w:rFonts w:ascii="Arial" w:hAnsi="Arial" w:cs="Arial"/>
        </w:rPr>
        <w:t>viromes</w:t>
      </w:r>
      <w:proofErr w:type="spellEnd"/>
      <w:r w:rsidRPr="00100933">
        <w:rPr>
          <w:rFonts w:ascii="Arial" w:hAnsi="Arial" w:cs="Arial"/>
        </w:rPr>
        <w:t>) that specifically infect ticks and induce mortality or cause direct infection, remain largely unexplored, especially in the context of South African ecosystems.</w:t>
      </w:r>
    </w:p>
    <w:p w14:paraId="6173BC21" w14:textId="77777777" w:rsidR="00100933" w:rsidRPr="00100933" w:rsidRDefault="00100933" w:rsidP="00FE33D8">
      <w:pPr>
        <w:spacing w:after="0" w:line="240" w:lineRule="auto"/>
        <w:jc w:val="both"/>
        <w:rPr>
          <w:rFonts w:ascii="Arial" w:hAnsi="Arial" w:cs="Arial"/>
        </w:rPr>
      </w:pPr>
      <w:r w:rsidRPr="00100933">
        <w:rPr>
          <w:rFonts w:ascii="Arial" w:hAnsi="Arial" w:cs="Arial"/>
        </w:rPr>
        <w:t xml:space="preserve">A </w:t>
      </w:r>
      <w:proofErr w:type="spellStart"/>
      <w:r w:rsidRPr="00100933">
        <w:rPr>
          <w:rFonts w:ascii="Arial" w:hAnsi="Arial" w:cs="Arial"/>
        </w:rPr>
        <w:t>virome</w:t>
      </w:r>
      <w:proofErr w:type="spellEnd"/>
      <w:r w:rsidRPr="00100933">
        <w:rPr>
          <w:rFonts w:ascii="Arial" w:hAnsi="Arial" w:cs="Arial"/>
        </w:rPr>
        <w:t xml:space="preserve"> encompasses the entire viral diversity found within an organism or ecosystem. In ticks, this includes pathogenic viruses capable of infecting vertebrate hosts, but also endogenous viral elements, bacteriophages, and other viruses that may play important roles in tick health, biology, and ecology. Recent advancements in next-generation sequencing technologies have revolutionised our ability to detect and characterise diverse viral communities, and shows promise to reveal the complexity of the tick-associated </w:t>
      </w:r>
      <w:proofErr w:type="spellStart"/>
      <w:r w:rsidRPr="00100933">
        <w:rPr>
          <w:rFonts w:ascii="Arial" w:hAnsi="Arial" w:cs="Arial"/>
        </w:rPr>
        <w:t>virome</w:t>
      </w:r>
      <w:proofErr w:type="spellEnd"/>
      <w:r w:rsidRPr="00100933">
        <w:rPr>
          <w:rFonts w:ascii="Arial" w:hAnsi="Arial" w:cs="Arial"/>
        </w:rPr>
        <w:t>. Such detail may help us to identify novel systems posing risk to vertebrate hosts, or identify mortality driving viruses in tick populations that may exert a control over tick populations.</w:t>
      </w:r>
    </w:p>
    <w:p w14:paraId="30052205" w14:textId="77777777" w:rsidR="00100933" w:rsidRPr="00100933" w:rsidRDefault="00100933" w:rsidP="00FE33D8">
      <w:pPr>
        <w:spacing w:after="0" w:line="240" w:lineRule="auto"/>
        <w:jc w:val="both"/>
        <w:rPr>
          <w:rFonts w:ascii="Arial" w:hAnsi="Arial" w:cs="Arial"/>
        </w:rPr>
      </w:pPr>
      <w:r w:rsidRPr="00100933">
        <w:rPr>
          <w:rFonts w:ascii="Arial" w:hAnsi="Arial" w:cs="Arial"/>
        </w:rPr>
        <w:t>The impact of this study will include a greater knowledge of tick dispersion (based on our sampling range), tick disease (identified from our screening methods), and uncover novel viral associations with either an animal host health impact, or identify novel agents for tick control. Controlling tick species that carry harmful pathogens of humans and livestock constitutes an important and lucrative topic, with few available options. This study has strong potential to outline novel options for tick control.</w:t>
      </w:r>
    </w:p>
    <w:p w14:paraId="4FF6E019" w14:textId="77777777" w:rsidR="00100933" w:rsidRPr="00100933" w:rsidRDefault="00100933" w:rsidP="00FE33D8">
      <w:pPr>
        <w:spacing w:after="0" w:line="240" w:lineRule="auto"/>
        <w:jc w:val="both"/>
        <w:rPr>
          <w:rFonts w:ascii="Arial" w:hAnsi="Arial" w:cs="Arial"/>
        </w:rPr>
      </w:pPr>
      <w:r w:rsidRPr="00100933">
        <w:rPr>
          <w:rFonts w:ascii="Arial" w:hAnsi="Arial" w:cs="Arial"/>
        </w:rPr>
        <w:t>This project aims to address these knowledge gaps by conducting a comprehensive investigation of tick viruses, from a wide range of tick species, from various animal hosts in South Africa. By combining cutting-edge genomic and transcriptomic technologies with traditional parasitological and virological methods, we seek to unravel the complex relationships between ticks, their animal hosts, and both the RNA and DNA viruses they carry. Furthermore, this research will lay the groundwork for the development of novel diagnostic tools that can rapidly identify and characterise tick-borne viruses, as well as outline the control potential of viral discoveries, ultimately contributing to improved surveillance and management of tick-borne diseases in South Africa.</w:t>
      </w:r>
    </w:p>
    <w:p w14:paraId="27DDD83B" w14:textId="77777777" w:rsidR="00E137A8" w:rsidRPr="00FE33D8" w:rsidRDefault="00E137A8"/>
    <w:sectPr w:rsidR="00E137A8" w:rsidRPr="00FE33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872"/>
    <w:rsid w:val="000436B6"/>
    <w:rsid w:val="00043DF3"/>
    <w:rsid w:val="00100933"/>
    <w:rsid w:val="00200A94"/>
    <w:rsid w:val="00435A1D"/>
    <w:rsid w:val="007C3826"/>
    <w:rsid w:val="00A37872"/>
    <w:rsid w:val="00BF0EF8"/>
    <w:rsid w:val="00CC3239"/>
    <w:rsid w:val="00E137A8"/>
    <w:rsid w:val="00F02912"/>
    <w:rsid w:val="00FE33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BE827"/>
  <w15:chartTrackingRefBased/>
  <w15:docId w15:val="{4D05F5DA-AB40-4CBF-B550-21BF31E6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872"/>
    <w:pPr>
      <w:spacing w:line="259" w:lineRule="auto"/>
    </w:pPr>
    <w:rPr>
      <w:sz w:val="22"/>
      <w:szCs w:val="22"/>
    </w:rPr>
  </w:style>
  <w:style w:type="paragraph" w:styleId="Heading1">
    <w:name w:val="heading 1"/>
    <w:basedOn w:val="Normal"/>
    <w:next w:val="Normal"/>
    <w:link w:val="Heading1Char"/>
    <w:uiPriority w:val="9"/>
    <w:qFormat/>
    <w:rsid w:val="00A3787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87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872"/>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872"/>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A37872"/>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A37872"/>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A37872"/>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A37872"/>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A37872"/>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8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8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8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8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8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8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8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8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872"/>
    <w:rPr>
      <w:rFonts w:eastAsiaTheme="majorEastAsia" w:cstheme="majorBidi"/>
      <w:color w:val="272727" w:themeColor="text1" w:themeTint="D8"/>
    </w:rPr>
  </w:style>
  <w:style w:type="paragraph" w:styleId="Title">
    <w:name w:val="Title"/>
    <w:basedOn w:val="Normal"/>
    <w:next w:val="Normal"/>
    <w:link w:val="TitleChar"/>
    <w:uiPriority w:val="10"/>
    <w:qFormat/>
    <w:rsid w:val="00A378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8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872"/>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8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872"/>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A37872"/>
    <w:rPr>
      <w:i/>
      <w:iCs/>
      <w:color w:val="404040" w:themeColor="text1" w:themeTint="BF"/>
    </w:rPr>
  </w:style>
  <w:style w:type="paragraph" w:styleId="ListParagraph">
    <w:name w:val="List Paragraph"/>
    <w:basedOn w:val="Normal"/>
    <w:uiPriority w:val="34"/>
    <w:qFormat/>
    <w:rsid w:val="00A37872"/>
    <w:pPr>
      <w:spacing w:line="278" w:lineRule="auto"/>
      <w:ind w:left="720"/>
      <w:contextualSpacing/>
    </w:pPr>
    <w:rPr>
      <w:sz w:val="24"/>
      <w:szCs w:val="24"/>
    </w:rPr>
  </w:style>
  <w:style w:type="character" w:styleId="IntenseEmphasis">
    <w:name w:val="Intense Emphasis"/>
    <w:basedOn w:val="DefaultParagraphFont"/>
    <w:uiPriority w:val="21"/>
    <w:qFormat/>
    <w:rsid w:val="00A37872"/>
    <w:rPr>
      <w:i/>
      <w:iCs/>
      <w:color w:val="0F4761" w:themeColor="accent1" w:themeShade="BF"/>
    </w:rPr>
  </w:style>
  <w:style w:type="paragraph" w:styleId="IntenseQuote">
    <w:name w:val="Intense Quote"/>
    <w:basedOn w:val="Normal"/>
    <w:next w:val="Normal"/>
    <w:link w:val="IntenseQuoteChar"/>
    <w:uiPriority w:val="30"/>
    <w:qFormat/>
    <w:rsid w:val="00A3787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A37872"/>
    <w:rPr>
      <w:i/>
      <w:iCs/>
      <w:color w:val="0F4761" w:themeColor="accent1" w:themeShade="BF"/>
    </w:rPr>
  </w:style>
  <w:style w:type="character" w:styleId="IntenseReference">
    <w:name w:val="Intense Reference"/>
    <w:basedOn w:val="DefaultParagraphFont"/>
    <w:uiPriority w:val="32"/>
    <w:qFormat/>
    <w:rsid w:val="00A37872"/>
    <w:rPr>
      <w:b/>
      <w:bCs/>
      <w:smallCaps/>
      <w:color w:val="0F4761" w:themeColor="accent1" w:themeShade="BF"/>
      <w:spacing w:val="5"/>
    </w:rPr>
  </w:style>
  <w:style w:type="character" w:styleId="Hyperlink">
    <w:name w:val="Hyperlink"/>
    <w:basedOn w:val="DefaultParagraphFont"/>
    <w:uiPriority w:val="99"/>
    <w:unhideWhenUsed/>
    <w:rsid w:val="00A37872"/>
    <w:rPr>
      <w:color w:val="467886" w:themeColor="hyperlink"/>
      <w:u w:val="single"/>
    </w:rPr>
  </w:style>
  <w:style w:type="character" w:styleId="UnresolvedMention">
    <w:name w:val="Unresolved Mention"/>
    <w:basedOn w:val="DefaultParagraphFont"/>
    <w:uiPriority w:val="99"/>
    <w:semiHidden/>
    <w:unhideWhenUsed/>
    <w:rsid w:val="00A37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alton@tees.ac.uk" TargetMode="External"/><Relationship Id="rId3" Type="http://schemas.openxmlformats.org/officeDocument/2006/relationships/webSettings" Target="webSettings.xml"/><Relationship Id="rId7" Type="http://schemas.openxmlformats.org/officeDocument/2006/relationships/hyperlink" Target="mailto:honest.machekano@up.ac.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nsikani@sanbi.org.za" TargetMode="External"/><Relationship Id="rId5" Type="http://schemas.openxmlformats.org/officeDocument/2006/relationships/hyperlink" Target="mailto:GEERTSS@cput.ac.za" TargetMode="External"/><Relationship Id="rId10" Type="http://schemas.openxmlformats.org/officeDocument/2006/relationships/theme" Target="theme/theme1.xml"/><Relationship Id="rId4" Type="http://schemas.openxmlformats.org/officeDocument/2006/relationships/hyperlink" Target="mailto:kenneth.oberlander@up.ac.za"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1546</Words>
  <Characters>8816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Du Toit</dc:creator>
  <cp:keywords/>
  <dc:description/>
  <cp:lastModifiedBy>Rene Du Toit</cp:lastModifiedBy>
  <cp:revision>2</cp:revision>
  <dcterms:created xsi:type="dcterms:W3CDTF">2024-10-18T10:30:00Z</dcterms:created>
  <dcterms:modified xsi:type="dcterms:W3CDTF">2024-10-18T10:30:00Z</dcterms:modified>
</cp:coreProperties>
</file>